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0" w:rsidRPr="00717A53" w:rsidRDefault="004615A0" w:rsidP="00772D0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17A53">
        <w:rPr>
          <w:b/>
          <w:bCs/>
          <w:sz w:val="32"/>
          <w:szCs w:val="32"/>
        </w:rPr>
        <w:t>Обстановка с гибелью и травмами детей при пожарах</w:t>
      </w:r>
    </w:p>
    <w:p w:rsidR="004615A0" w:rsidRPr="00717A53" w:rsidRDefault="004615A0" w:rsidP="00772D0C">
      <w:pPr>
        <w:jc w:val="center"/>
        <w:rPr>
          <w:b/>
          <w:bCs/>
          <w:sz w:val="32"/>
          <w:szCs w:val="32"/>
        </w:rPr>
      </w:pPr>
      <w:r w:rsidRPr="00717A53">
        <w:rPr>
          <w:b/>
          <w:bCs/>
          <w:sz w:val="32"/>
          <w:szCs w:val="32"/>
        </w:rPr>
        <w:t>на территории</w:t>
      </w:r>
      <w:r w:rsidR="00717A53" w:rsidRPr="00717A53">
        <w:rPr>
          <w:b/>
          <w:bCs/>
          <w:sz w:val="32"/>
          <w:szCs w:val="32"/>
        </w:rPr>
        <w:t xml:space="preserve"> </w:t>
      </w:r>
      <w:r w:rsidRPr="00717A53">
        <w:rPr>
          <w:b/>
          <w:bCs/>
          <w:sz w:val="32"/>
          <w:szCs w:val="32"/>
        </w:rPr>
        <w:t>Свердловской области</w:t>
      </w:r>
    </w:p>
    <w:p w:rsidR="004615A0" w:rsidRPr="00202FBD" w:rsidRDefault="004615A0" w:rsidP="00023BD6">
      <w:pPr>
        <w:ind w:firstLine="709"/>
        <w:jc w:val="center"/>
        <w:rPr>
          <w:b/>
          <w:bCs/>
          <w:sz w:val="10"/>
          <w:szCs w:val="10"/>
        </w:rPr>
      </w:pP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 xml:space="preserve">На территории Свердловской области за 5 месяцев 2021 произошло 4 пожара с гибелью детей, стабильно в сравнении с аналогичным периодом прошлого года (АППГ) (2020 - 4 пожара). С травмами детей произошло 19 пожаров, увеличение в 2 раза в сравнении с АППГ (2020 - 9 пожаров).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При пожарах погибло 8 детей, увеличение на 33 % (2019 - 6 детей). Травмировано 29 детей, увеличение в 2 раза (2019 - 12 детей).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За указанный период дошкольного возраста (до 7 лет) погибло 4 ребёнка (50% от общего количества) и 9 детей травмировано (31%), с 7 до 11 лет погибло 4 ребёнка (50%) и 5 детей травмировано (17%), подростков от 11 до 18 лет 15 детей травмировано (52%).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 xml:space="preserve">Погибших мальчиков (6 детей), больше чем девочек (2 ребёнка). Травмированных мальчиков (17 детей), больше чем девочек (12 детей).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(13% от общего количества) и 4 ребёнка травмировано (14%); по вине детей 7-11 лет погибших и травмированных нет, по вине детей 11-18 лет погибших нет и 2 ребёнка травмировано (7%); по вине людей старше 18 лет погибших нет и 5 детей травмировано (17%). Виновное лицо не установлено – погибло 7 детей (88%) и 11 детей травмировано (38%). Виновное лицо не усматривается – погибших нет и 7 детей травмировано (24%).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Распределение по местам возникновения: в зданиях жилого назначения и надворных постройках - погибло 8 детей (100%) и  травмировано 23 ребёнка (79%); в зданиях, помещениях учебно-воспитательного назначения -  травмировано 5 детей (17%); носильные вещи (вещи на человеке), горючие вещества на теле человека -  травмирован 1 ребёнок (3%)</w:t>
      </w:r>
      <w:r>
        <w:rPr>
          <w:sz w:val="28"/>
          <w:szCs w:val="28"/>
        </w:rPr>
        <w:t>.</w:t>
      </w:r>
      <w:r w:rsidRPr="00580C76">
        <w:rPr>
          <w:sz w:val="28"/>
          <w:szCs w:val="28"/>
        </w:rPr>
        <w:t xml:space="preserve">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В одноэтажных зданиях погибло 5 детей (63% от общего количества) и  травмировано 7 детей (24%); в двухэтажных зданиях  травмировано 5 детей (17%); в зданиях от трех этажей и выше погибло 3 ребёнка (38%) и  травмировано 16 детей (55%). Вне здания  травмирован 1 ребёнок (3%).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В зданиях пятой степени огнестойкости погибло 5 детей (63% от общего количества) и  травмировано 7 детей (24%); в зданиях третей и четвертой степени огнестойкости погиб 1 ребёнок (13%) и  травмировано 8 детей (28%); в зданиях первой и второй степени огнестойкости погибло 2 ребёнка (25%) и  травмировано 13 детей (45%). Вне здания  травмирован 1 ребёнок (3%).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Причины гибели и травм детей: неосторожное обращение с огнем – погибло 2 ребёнка (25% от общего количества) и  травмировано 12 детей (41%); из них по причине неосторожное обращение с огнем детей погиб 1 ребёнок (13%) и  травмировано 4 ребёнка (14%); нарушение правил устройства и эксплуатации (</w:t>
      </w:r>
      <w:proofErr w:type="spellStart"/>
      <w:r w:rsidRPr="00580C76">
        <w:rPr>
          <w:sz w:val="28"/>
          <w:szCs w:val="28"/>
        </w:rPr>
        <w:t>НПУиЭ</w:t>
      </w:r>
      <w:proofErr w:type="spellEnd"/>
      <w:r w:rsidRPr="00580C76">
        <w:rPr>
          <w:sz w:val="28"/>
          <w:szCs w:val="28"/>
        </w:rPr>
        <w:t xml:space="preserve">) электрооборудования – погибло 5 детей (63%) и  травмировано 10 детей (34%); </w:t>
      </w:r>
      <w:proofErr w:type="spellStart"/>
      <w:r w:rsidRPr="00580C76">
        <w:rPr>
          <w:sz w:val="28"/>
          <w:szCs w:val="28"/>
        </w:rPr>
        <w:t>НПУиЭ</w:t>
      </w:r>
      <w:proofErr w:type="spellEnd"/>
      <w:r w:rsidRPr="00580C76">
        <w:rPr>
          <w:sz w:val="28"/>
          <w:szCs w:val="28"/>
        </w:rPr>
        <w:t xml:space="preserve"> печей –  травмировано 2 ребёнка (7%); поджог - погиб 1 ребёнок (13%) и  травмировано 3 ребёнка (10%); нарушение технологического процесса производства -  травмировано 2 ребёнка (7%)</w:t>
      </w:r>
      <w:r>
        <w:rPr>
          <w:sz w:val="28"/>
          <w:szCs w:val="28"/>
        </w:rPr>
        <w:t>.</w:t>
      </w:r>
      <w:r w:rsidRPr="00580C76">
        <w:rPr>
          <w:sz w:val="28"/>
          <w:szCs w:val="28"/>
        </w:rPr>
        <w:t xml:space="preserve">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В городах погибло 3 ребёнка (38% от общего количества) и  травмировано 24 ребёнка (83%). В сельской местности погибло 5 детей (63%) и  травмировано 5 детей (17%)</w:t>
      </w:r>
      <w:r>
        <w:rPr>
          <w:sz w:val="28"/>
          <w:szCs w:val="28"/>
        </w:rPr>
        <w:t>.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lastRenderedPageBreak/>
        <w:t>Распределение по времени: в рабочее время (с 08.00 до 18.00) – погиб 1 ребёнок (13% от общего количества) и  травмировано 13 детей (45%); в вечернее время (с 18.00 до 24.00) –  травмировано 3 ребёнка (10%); в ночное время (с 24.00 до 8.00) – погибло 7 детей (88%) и  травмировано 11 детей (38%). Время возникновения не установлено –  травмировано 2 ребёнка (7%)</w:t>
      </w:r>
      <w:r>
        <w:rPr>
          <w:sz w:val="28"/>
          <w:szCs w:val="28"/>
        </w:rPr>
        <w:t>.</w:t>
      </w:r>
      <w:r w:rsidRPr="00580C76">
        <w:rPr>
          <w:sz w:val="28"/>
          <w:szCs w:val="28"/>
        </w:rPr>
        <w:t xml:space="preserve"> </w:t>
      </w:r>
    </w:p>
    <w:p w:rsidR="00580C76" w:rsidRPr="00580C76" w:rsidRDefault="00580C76" w:rsidP="00580C76">
      <w:pPr>
        <w:ind w:firstLine="709"/>
        <w:jc w:val="both"/>
        <w:rPr>
          <w:sz w:val="28"/>
          <w:szCs w:val="28"/>
        </w:rPr>
      </w:pPr>
      <w:r w:rsidRPr="00580C76">
        <w:rPr>
          <w:sz w:val="28"/>
          <w:szCs w:val="28"/>
        </w:rPr>
        <w:t>Распределение по дням недели: в понедельник -  травмировано 3 ребёнка (10%); во вторник - погиб 1 ребёнок (13%) и  травмировано 5 детей (17%); в среду - погиб 1 ребёнок (13%) и  травмирован 1 ребёнок (3%); в четверг - погибло 5 детей (63%) и  травмировано 3 ребёнка (10%); в пятницу -  травмировано 6 детей (21%); в субботу -  травмировано 6 детей (21%); в воскресенье - погиб 1 ребёнок (13%) и  травмировано 5 детей (17%)</w:t>
      </w:r>
      <w:r>
        <w:rPr>
          <w:sz w:val="28"/>
          <w:szCs w:val="28"/>
        </w:rPr>
        <w:t>.</w:t>
      </w:r>
      <w:r w:rsidRPr="00580C76">
        <w:rPr>
          <w:sz w:val="28"/>
          <w:szCs w:val="28"/>
        </w:rPr>
        <w:t xml:space="preserve"> </w:t>
      </w: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414" w:type="dxa"/>
        <w:jc w:val="center"/>
        <w:tblInd w:w="93" w:type="dxa"/>
        <w:tblLook w:val="04A0" w:firstRow="1" w:lastRow="0" w:firstColumn="1" w:lastColumn="0" w:noHBand="0" w:noVBand="1"/>
      </w:tblPr>
      <w:tblGrid>
        <w:gridCol w:w="3320"/>
        <w:gridCol w:w="880"/>
        <w:gridCol w:w="1294"/>
        <w:gridCol w:w="760"/>
        <w:gridCol w:w="1060"/>
        <w:gridCol w:w="1060"/>
        <w:gridCol w:w="1040"/>
      </w:tblGrid>
      <w:tr w:rsidR="00EC0E4C" w:rsidRPr="00EC0E4C" w:rsidTr="00EC0E4C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C0E4C" w:rsidRPr="00EC0E4C" w:rsidTr="00EC0E4C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both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</w:rPr>
            </w:pPr>
            <w:proofErr w:type="spellStart"/>
            <w:r w:rsidRPr="00EC0E4C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</w:rPr>
            </w:pPr>
            <w:r w:rsidRPr="00EC0E4C">
              <w:rPr>
                <w:b/>
                <w:bCs/>
              </w:rPr>
              <w:t>33,3</w:t>
            </w:r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Талицкий</w:t>
            </w:r>
            <w:proofErr w:type="spellEnd"/>
            <w:r w:rsidRPr="00EC0E4C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Туринский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Артинский</w:t>
            </w:r>
            <w:proofErr w:type="spellEnd"/>
            <w:r w:rsidRPr="00EC0E4C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Горноуральский</w:t>
            </w:r>
            <w:proofErr w:type="spellEnd"/>
            <w:r w:rsidRPr="00EC0E4C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Екатеринбург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Нижний Тагил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Сысертский</w:t>
            </w:r>
            <w:proofErr w:type="spellEnd"/>
            <w:r w:rsidRPr="00EC0E4C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</w:tbl>
    <w:p w:rsidR="00EC0E4C" w:rsidRPr="00EC0E4C" w:rsidRDefault="00EC0E4C" w:rsidP="00724DAA">
      <w:pPr>
        <w:spacing w:before="120"/>
        <w:jc w:val="center"/>
        <w:rPr>
          <w:b/>
          <w:bCs/>
          <w:sz w:val="14"/>
          <w:szCs w:val="14"/>
        </w:rPr>
      </w:pPr>
    </w:p>
    <w:p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972" w:type="dxa"/>
        <w:jc w:val="center"/>
        <w:tblInd w:w="93" w:type="dxa"/>
        <w:tblLook w:val="04A0" w:firstRow="1" w:lastRow="0" w:firstColumn="1" w:lastColumn="0" w:noHBand="0" w:noVBand="1"/>
      </w:tblPr>
      <w:tblGrid>
        <w:gridCol w:w="3783"/>
        <w:gridCol w:w="1047"/>
        <w:gridCol w:w="847"/>
        <w:gridCol w:w="1116"/>
        <w:gridCol w:w="979"/>
        <w:gridCol w:w="1100"/>
        <w:gridCol w:w="1100"/>
      </w:tblGrid>
      <w:tr w:rsidR="00EC0E4C" w:rsidRPr="00EC0E4C" w:rsidTr="00EC0E4C">
        <w:trPr>
          <w:trHeight w:val="525"/>
          <w:jc w:val="center"/>
        </w:trPr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C0E4C" w:rsidRPr="00EC0E4C" w:rsidTr="00EC0E4C">
        <w:trPr>
          <w:trHeight w:val="285"/>
          <w:jc w:val="center"/>
        </w:trPr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4C" w:rsidRPr="00EC0E4C" w:rsidRDefault="00EC0E4C" w:rsidP="00EC0E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both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</w:rPr>
            </w:pPr>
            <w:proofErr w:type="spellStart"/>
            <w:r w:rsidRPr="00EC0E4C">
              <w:rPr>
                <w:b/>
                <w:bCs/>
              </w:rPr>
              <w:t>ув</w:t>
            </w:r>
            <w:proofErr w:type="spellEnd"/>
            <w:r w:rsidRPr="00EC0E4C">
              <w:rPr>
                <w:b/>
                <w:bCs/>
              </w:rPr>
              <w:t xml:space="preserve"> в 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4C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E4C" w:rsidRPr="00EC0E4C" w:rsidRDefault="00EC0E4C" w:rsidP="00EC0E4C">
            <w:pPr>
              <w:jc w:val="center"/>
              <w:rPr>
                <w:b/>
                <w:bCs/>
              </w:rPr>
            </w:pPr>
            <w:proofErr w:type="spellStart"/>
            <w:r w:rsidRPr="00EC0E4C">
              <w:rPr>
                <w:b/>
                <w:bCs/>
              </w:rPr>
              <w:t>ув</w:t>
            </w:r>
            <w:proofErr w:type="spellEnd"/>
            <w:r w:rsidRPr="00EC0E4C">
              <w:rPr>
                <w:b/>
                <w:bCs/>
              </w:rPr>
              <w:t xml:space="preserve"> в 2,4</w:t>
            </w:r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Талицкий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Екатеринбург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  <w:r w:rsidRPr="00EC0E4C">
              <w:t xml:space="preserve"> в 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  <w:r w:rsidRPr="00EC0E4C">
              <w:t xml:space="preserve"> в 6,5</w:t>
            </w:r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Березовский 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  <w:r w:rsidRPr="00EC0E4C">
              <w:t xml:space="preserve"> в 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ГО Карпинск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Каменский 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сн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Каменск-Уральский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Режевской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Горноуральский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Сысертский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ГО Красноуфимск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Кушвинский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Нижний Тагил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ГО Верхняя Пышма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МО город Алапаевск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ГО Ревда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Арамильский</w:t>
            </w:r>
            <w:proofErr w:type="spellEnd"/>
            <w:r w:rsidRPr="00EC0E4C">
              <w:t xml:space="preserve"> 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  <w:tr w:rsidR="00EC0E4C" w:rsidRPr="00EC0E4C" w:rsidTr="00EC0E4C">
        <w:trPr>
          <w:trHeight w:val="315"/>
          <w:jc w:val="center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ГО Среднеуральск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  <w:rPr>
                <w:color w:val="FFFFFF"/>
              </w:rPr>
            </w:pPr>
            <w:r w:rsidRPr="00EC0E4C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4C" w:rsidRPr="00EC0E4C" w:rsidRDefault="00EC0E4C" w:rsidP="00EC0E4C">
            <w:pPr>
              <w:jc w:val="center"/>
            </w:pPr>
            <w:r w:rsidRPr="00EC0E4C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4C" w:rsidRPr="00EC0E4C" w:rsidRDefault="00EC0E4C" w:rsidP="00EC0E4C">
            <w:pPr>
              <w:jc w:val="center"/>
            </w:pPr>
            <w:proofErr w:type="spellStart"/>
            <w:r w:rsidRPr="00EC0E4C">
              <w:t>ув</w:t>
            </w:r>
            <w:proofErr w:type="spellEnd"/>
          </w:p>
        </w:tc>
      </w:tr>
    </w:tbl>
    <w:p w:rsidR="00917E7B" w:rsidRPr="00023BD6" w:rsidRDefault="00917E7B" w:rsidP="00023BD6">
      <w:pPr>
        <w:jc w:val="center"/>
        <w:rPr>
          <w:sz w:val="6"/>
          <w:szCs w:val="6"/>
          <w:lang w:val="en-US"/>
        </w:rPr>
      </w:pPr>
    </w:p>
    <w:sectPr w:rsidR="00917E7B" w:rsidRPr="00023BD6" w:rsidSect="001E1E8A">
      <w:footerReference w:type="default" r:id="rId9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B5" w:rsidRDefault="007753B5">
      <w:r>
        <w:separator/>
      </w:r>
    </w:p>
  </w:endnote>
  <w:endnote w:type="continuationSeparator" w:id="0">
    <w:p w:rsidR="007753B5" w:rsidRDefault="007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69" w:rsidRDefault="00AA6738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4E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8C5">
      <w:rPr>
        <w:rStyle w:val="ac"/>
        <w:noProof/>
      </w:rPr>
      <w:t>2</w:t>
    </w:r>
    <w:r>
      <w:rPr>
        <w:rStyle w:val="ac"/>
      </w:rPr>
      <w:fldChar w:fldCharType="end"/>
    </w:r>
  </w:p>
  <w:p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B5" w:rsidRDefault="007753B5">
      <w:r>
        <w:separator/>
      </w:r>
    </w:p>
  </w:footnote>
  <w:footnote w:type="continuationSeparator" w:id="0">
    <w:p w:rsidR="007753B5" w:rsidRDefault="007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3BD6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1E8A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3EC1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4A6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76646"/>
    <w:rsid w:val="002817A9"/>
    <w:rsid w:val="00281D16"/>
    <w:rsid w:val="002827E8"/>
    <w:rsid w:val="00284257"/>
    <w:rsid w:val="00284FCA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0C76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4A6"/>
    <w:rsid w:val="005978EA"/>
    <w:rsid w:val="00597A01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8C5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3765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50FE"/>
    <w:rsid w:val="006E5474"/>
    <w:rsid w:val="006E70AA"/>
    <w:rsid w:val="006F0176"/>
    <w:rsid w:val="006F060B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A53"/>
    <w:rsid w:val="00717B76"/>
    <w:rsid w:val="007213BD"/>
    <w:rsid w:val="00721ACE"/>
    <w:rsid w:val="00721B31"/>
    <w:rsid w:val="00721CE7"/>
    <w:rsid w:val="00723173"/>
    <w:rsid w:val="00723E2E"/>
    <w:rsid w:val="0072404F"/>
    <w:rsid w:val="00724DAA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3B5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53CD"/>
    <w:rsid w:val="007C67F5"/>
    <w:rsid w:val="007C6B6D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372D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6738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0EE0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3CA1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9AA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2BC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FD7"/>
    <w:rsid w:val="00DB3DC1"/>
    <w:rsid w:val="00DB41C8"/>
    <w:rsid w:val="00DB46C7"/>
    <w:rsid w:val="00DB4941"/>
    <w:rsid w:val="00DB4C1F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66BB"/>
    <w:rsid w:val="00E07837"/>
    <w:rsid w:val="00E0799A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0E4C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BE1F-DD5C-41F7-9A50-A170716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Анастасия</cp:lastModifiedBy>
  <cp:revision>2</cp:revision>
  <cp:lastPrinted>2012-04-20T05:56:00Z</cp:lastPrinted>
  <dcterms:created xsi:type="dcterms:W3CDTF">2021-06-17T11:28:00Z</dcterms:created>
  <dcterms:modified xsi:type="dcterms:W3CDTF">2021-06-17T11:28:00Z</dcterms:modified>
</cp:coreProperties>
</file>